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служба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гражданская служба».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формирования государственной службы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Политическая и правовая концепции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История института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Развитие института государственной службы в рамках современных административных преобразований.</w:t>
            </w:r>
          </w:p>
          <w:p>
            <w:pPr>
              <w:jc w:val="both"/>
              <w:spacing w:after="0" w:line="240" w:lineRule="auto"/>
              <w:rPr>
                <w:sz w:val="24"/>
                <w:szCs w:val="24"/>
              </w:rPr>
            </w:pPr>
            <w:r>
              <w:rPr>
                <w:rFonts w:ascii="Times New Roman" w:hAnsi="Times New Roman" w:cs="Times New Roman"/>
                <w:color w:val="#000000"/>
                <w:sz w:val="24"/>
                <w:szCs w:val="24"/>
              </w:rPr>
              <w:t> Эволюция государственной бюрократии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государственной и муниципальной службы в зарубежных странах.</w:t>
            </w:r>
          </w:p>
          <w:p>
            <w:pPr>
              <w:jc w:val="both"/>
              <w:spacing w:after="0" w:line="240" w:lineRule="auto"/>
              <w:rPr>
                <w:sz w:val="24"/>
                <w:szCs w:val="24"/>
              </w:rPr>
            </w:pPr>
            <w:r>
              <w:rPr>
                <w:rFonts w:ascii="Times New Roman" w:hAnsi="Times New Roman" w:cs="Times New Roman"/>
                <w:color w:val="#000000"/>
                <w:sz w:val="24"/>
                <w:szCs w:val="24"/>
              </w:rPr>
              <w:t> Публичная служба Франции.</w:t>
            </w:r>
          </w:p>
          <w:p>
            <w:pPr>
              <w:jc w:val="both"/>
              <w:spacing w:after="0" w:line="240" w:lineRule="auto"/>
              <w:rPr>
                <w:sz w:val="24"/>
                <w:szCs w:val="24"/>
              </w:rPr>
            </w:pPr>
            <w:r>
              <w:rPr>
                <w:rFonts w:ascii="Times New Roman" w:hAnsi="Times New Roman" w:cs="Times New Roman"/>
                <w:color w:val="#000000"/>
                <w:sz w:val="24"/>
                <w:szCs w:val="24"/>
              </w:rPr>
              <w:t> Публичная служба ФРГ.</w:t>
            </w:r>
          </w:p>
          <w:p>
            <w:pPr>
              <w:jc w:val="both"/>
              <w:spacing w:after="0" w:line="240" w:lineRule="auto"/>
              <w:rPr>
                <w:sz w:val="24"/>
                <w:szCs w:val="24"/>
              </w:rPr>
            </w:pPr>
            <w:r>
              <w:rPr>
                <w:rFonts w:ascii="Times New Roman" w:hAnsi="Times New Roman" w:cs="Times New Roman"/>
                <w:color w:val="#000000"/>
                <w:sz w:val="24"/>
                <w:szCs w:val="24"/>
              </w:rPr>
              <w:t> Гражданская служба Великобритании.</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гражданская служба как публично-правовой институт.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Оказание услуг как главное свойство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Взаимодействие политической и административной власти в государстве.</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гражданской службы.</w:t>
            </w:r>
          </w:p>
          <w:p>
            <w:pPr>
              <w:jc w:val="both"/>
              <w:spacing w:after="0" w:line="240" w:lineRule="auto"/>
              <w:rPr>
                <w:sz w:val="24"/>
                <w:szCs w:val="24"/>
              </w:rPr>
            </w:pPr>
            <w:r>
              <w:rPr>
                <w:rFonts w:ascii="Times New Roman" w:hAnsi="Times New Roman" w:cs="Times New Roman"/>
                <w:color w:val="#000000"/>
                <w:sz w:val="24"/>
                <w:szCs w:val="24"/>
              </w:rPr>
              <w:t> Объективные законы гражданской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государственной службой.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и экспертное обеспечение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Нормативное и документационное обеспечение.</w:t>
            </w:r>
          </w:p>
          <w:p>
            <w:pPr>
              <w:jc w:val="both"/>
              <w:spacing w:after="0" w:line="240" w:lineRule="auto"/>
              <w:rPr>
                <w:sz w:val="24"/>
                <w:szCs w:val="24"/>
              </w:rPr>
            </w:pPr>
            <w:r>
              <w:rPr>
                <w:rFonts w:ascii="Times New Roman" w:hAnsi="Times New Roman" w:cs="Times New Roman"/>
                <w:color w:val="#000000"/>
                <w:sz w:val="24"/>
                <w:szCs w:val="24"/>
              </w:rPr>
              <w:t> Система и принципы государственной службы в РФ.</w:t>
            </w:r>
          </w:p>
          <w:p>
            <w:pPr>
              <w:jc w:val="both"/>
              <w:spacing w:after="0" w:line="240" w:lineRule="auto"/>
              <w:rPr>
                <w:sz w:val="24"/>
                <w:szCs w:val="24"/>
              </w:rPr>
            </w:pPr>
            <w:r>
              <w:rPr>
                <w:rFonts w:ascii="Times New Roman" w:hAnsi="Times New Roman" w:cs="Times New Roman"/>
                <w:color w:val="#000000"/>
                <w:sz w:val="24"/>
                <w:szCs w:val="24"/>
              </w:rPr>
              <w:t> Механизмы взаимодействия федеральной и региональной госслужбы.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Гражданская служба и «электронное правительство».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государственных служащих. Должностные лица в системе государственной службы.</w:t>
            </w:r>
          </w:p>
        </w:tc>
      </w:tr>
      <w:tr>
        <w:trPr>
          <w:trHeight w:hRule="exact" w:val="616.8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гражданский служащий: основы правового статуса и иерархия должностей.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Реестр должностей госслужбы.</w:t>
            </w:r>
          </w:p>
          <w:p>
            <w:pPr>
              <w:jc w:val="both"/>
              <w:spacing w:after="0" w:line="240" w:lineRule="auto"/>
              <w:rPr>
                <w:sz w:val="24"/>
                <w:szCs w:val="24"/>
              </w:rPr>
            </w:pPr>
            <w:r>
              <w:rPr>
                <w:rFonts w:ascii="Times New Roman" w:hAnsi="Times New Roman" w:cs="Times New Roman"/>
                <w:color w:val="#000000"/>
                <w:sz w:val="24"/>
                <w:szCs w:val="24"/>
              </w:rPr>
              <w:t> Система государственных должностей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Система классных чинов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государственного гражданского служащего: система прав, обязанностей, ограничений и запретов.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 развитие органов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муниципальной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Взаимосвязь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Понятие муниципальной службы и муниципальной должности.</w:t>
            </w:r>
          </w:p>
          <w:p>
            <w:pPr>
              <w:jc w:val="both"/>
              <w:spacing w:after="0" w:line="240" w:lineRule="auto"/>
              <w:rPr>
                <w:sz w:val="24"/>
                <w:szCs w:val="24"/>
              </w:rPr>
            </w:pPr>
            <w:r>
              <w:rPr>
                <w:rFonts w:ascii="Times New Roman" w:hAnsi="Times New Roman" w:cs="Times New Roman"/>
                <w:color w:val="#000000"/>
                <w:sz w:val="24"/>
                <w:szCs w:val="24"/>
              </w:rPr>
              <w:t> Правовые основы статуса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Требования к муниципальным должностям.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Общие принципы организации муниципальной службы.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реализации кадровой политики в органах муниципального управления.</w:t>
            </w:r>
          </w:p>
          <w:p>
            <w:pPr>
              <w:jc w:val="both"/>
              <w:spacing w:after="0" w:line="240" w:lineRule="auto"/>
              <w:rPr>
                <w:sz w:val="24"/>
                <w:szCs w:val="24"/>
              </w:rPr>
            </w:pPr>
            <w:r>
              <w:rPr>
                <w:rFonts w:ascii="Times New Roman" w:hAnsi="Times New Roman" w:cs="Times New Roman"/>
                <w:color w:val="#000000"/>
                <w:sz w:val="24"/>
                <w:szCs w:val="24"/>
              </w:rPr>
              <w:t> Принятие на государственную гражданскую службу.</w:t>
            </w:r>
          </w:p>
          <w:p>
            <w:pPr>
              <w:jc w:val="both"/>
              <w:spacing w:after="0" w:line="240" w:lineRule="auto"/>
              <w:rPr>
                <w:sz w:val="24"/>
                <w:szCs w:val="24"/>
              </w:rPr>
            </w:pPr>
            <w:r>
              <w:rPr>
                <w:rFonts w:ascii="Times New Roman" w:hAnsi="Times New Roman" w:cs="Times New Roman"/>
                <w:color w:val="#000000"/>
                <w:sz w:val="24"/>
                <w:szCs w:val="24"/>
              </w:rPr>
              <w:t> Аттестация государственных гражданских служащих.</w:t>
            </w:r>
          </w:p>
          <w:p>
            <w:pPr>
              <w:jc w:val="both"/>
              <w:spacing w:after="0" w:line="240" w:lineRule="auto"/>
              <w:rPr>
                <w:sz w:val="24"/>
                <w:szCs w:val="24"/>
              </w:rPr>
            </w:pPr>
            <w:r>
              <w:rPr>
                <w:rFonts w:ascii="Times New Roman" w:hAnsi="Times New Roman" w:cs="Times New Roman"/>
                <w:color w:val="#000000"/>
                <w:sz w:val="24"/>
                <w:szCs w:val="24"/>
              </w:rPr>
              <w:t> Регламентация служебной деятельности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Оценка профессиональной служебной деятельности.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Конфликт интересов на государственной гражданской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гражданской службе.</w:t>
            </w:r>
          </w:p>
          <w:p>
            <w:pPr>
              <w:jc w:val="both"/>
              <w:spacing w:after="0" w:line="240" w:lineRule="auto"/>
              <w:rPr>
                <w:sz w:val="24"/>
                <w:szCs w:val="24"/>
              </w:rPr>
            </w:pPr>
            <w:r>
              <w:rPr>
                <w:rFonts w:ascii="Times New Roman" w:hAnsi="Times New Roman" w:cs="Times New Roman"/>
                <w:color w:val="#000000"/>
                <w:sz w:val="24"/>
                <w:szCs w:val="24"/>
              </w:rPr>
              <w:t> Урегулирование конфликта интересов.</w:t>
            </w:r>
          </w:p>
          <w:p>
            <w:pPr>
              <w:jc w:val="both"/>
              <w:spacing w:after="0" w:line="240" w:lineRule="auto"/>
              <w:rPr>
                <w:sz w:val="24"/>
                <w:szCs w:val="24"/>
              </w:rPr>
            </w:pPr>
            <w:r>
              <w:rPr>
                <w:rFonts w:ascii="Times New Roman" w:hAnsi="Times New Roman" w:cs="Times New Roman"/>
                <w:color w:val="#000000"/>
                <w:sz w:val="24"/>
                <w:szCs w:val="24"/>
              </w:rPr>
              <w:t> Мероприятия, направленные на предотвращение возникновения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рассмотрения индивидуальных служебных споров.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2023-2024_ФГОС3++2023_Бак-ОЗФО-ГМУ(ГМС)(23)_plx_Государственная гражданская служба</dc:title>
  <dc:creator>FastReport.NET</dc:creator>
</cp:coreProperties>
</file>